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line="336" w:lineRule="auto"/>
        <w:jc w:val="center"/>
        <w:rPr>
          <w:rFonts w:ascii="Times New Roman" w:hAnsi="Times New Roman" w:cs="Times New Roman"/>
          <w:b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Hlk118295440"/>
      <w:bookmarkStart w:id="1" w:name="_Hlk118295420"/>
      <w:r>
        <w:rPr>
          <w:rFonts w:ascii="Times New Roman" w:hAnsi="Times New Roman" w:eastAsia="宋体" w:cs="Times New Roman"/>
          <w:b/>
          <w:color w:val="000000" w:themeColor="text1"/>
          <w:spacing w:val="6"/>
          <w:w w:val="90"/>
          <w:kern w:val="0"/>
          <w:sz w:val="52"/>
          <w:szCs w:val="52"/>
          <w:lang w:bidi="ar"/>
          <w14:textFill>
            <w14:solidFill>
              <w14:schemeClr w14:val="tx1"/>
            </w14:solidFill>
          </w14:textFill>
        </w:rPr>
        <w:t>哈尔滨工业大学</w:t>
      </w:r>
      <w:r>
        <w:rPr>
          <w:rFonts w:hint="eastAsia" w:ascii="Times New Roman" w:hAnsi="Times New Roman" w:eastAsia="宋体" w:cs="Times New Roman"/>
          <w:b/>
          <w:color w:val="000000" w:themeColor="text1"/>
          <w:spacing w:val="6"/>
          <w:w w:val="90"/>
          <w:kern w:val="0"/>
          <w:sz w:val="52"/>
          <w:szCs w:val="52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color w:val="000000" w:themeColor="text1"/>
          <w:spacing w:val="6"/>
          <w:w w:val="90"/>
          <w:kern w:val="0"/>
          <w:sz w:val="52"/>
          <w:szCs w:val="52"/>
          <w:lang w:val="en-US" w:eastAsia="zh-CN" w:bidi="ar"/>
          <w14:textFill>
            <w14:solidFill>
              <w14:schemeClr w14:val="tx1"/>
            </w14:solidFill>
          </w14:textFill>
        </w:rPr>
        <w:t>威海</w:t>
      </w:r>
      <w:r>
        <w:rPr>
          <w:rFonts w:hint="eastAsia" w:ascii="Times New Roman" w:hAnsi="Times New Roman" w:eastAsia="宋体" w:cs="Times New Roman"/>
          <w:b/>
          <w:color w:val="000000" w:themeColor="text1"/>
          <w:spacing w:val="6"/>
          <w:w w:val="90"/>
          <w:kern w:val="0"/>
          <w:sz w:val="52"/>
          <w:szCs w:val="52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b/>
          <w:color w:val="000000" w:themeColor="text1"/>
          <w:spacing w:val="6"/>
          <w:w w:val="90"/>
          <w:kern w:val="0"/>
          <w:sz w:val="52"/>
          <w:szCs w:val="52"/>
          <w:lang w:bidi="ar"/>
          <w14:textFill>
            <w14:solidFill>
              <w14:schemeClr w14:val="tx1"/>
            </w14:solidFill>
          </w14:textFill>
        </w:rPr>
        <w:t>财务</w:t>
      </w:r>
      <w:r>
        <w:rPr>
          <w:rFonts w:ascii="Times New Roman" w:hAnsi="Times New Roman" w:eastAsia="宋体" w:cs="Times New Roman"/>
          <w:b/>
          <w:color w:val="000000" w:themeColor="text1"/>
          <w:spacing w:val="5"/>
          <w:w w:val="90"/>
          <w:kern w:val="0"/>
          <w:sz w:val="52"/>
          <w:szCs w:val="52"/>
          <w:lang w:bidi="ar"/>
          <w14:textFill>
            <w14:solidFill>
              <w14:schemeClr w14:val="tx1"/>
            </w14:solidFill>
          </w14:textFill>
        </w:rPr>
        <w:t>处</w:t>
      </w:r>
    </w:p>
    <w:p>
      <w:pPr>
        <w:spacing w:line="336" w:lineRule="auto"/>
        <w:rPr>
          <w:rFonts w:ascii="Times New Roman" w:hAnsi="Times New Roman" w:eastAsia="黑体" w:cs="Times New Roman"/>
          <w:color w:val="000000" w:themeColor="text1"/>
          <w:sz w:val="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36" w:lineRule="auto"/>
        <w:jc w:val="center"/>
        <w:rPr>
          <w:rFonts w:ascii="Times New Roman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-196850</wp:posOffset>
                </wp:positionV>
                <wp:extent cx="5524500" cy="17145"/>
                <wp:effectExtent l="0" t="28575" r="0" b="3048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1714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2.55pt;margin-top:-15.5pt;height:1.35pt;width:435pt;z-index:251659264;mso-width-relative:page;mso-height-relative:page;" filled="f" stroked="t" coordsize="21600,21600" o:gfxdata="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9ns2jXAAAA&#10;CgEAAA8AAAAAAAAAAQAgAAAAIgAAAGRycy9kb3ducmV2LnhtbFBLAQIUABQAAAAIAIdO4kDIuq0z&#10;5QEAANoDAAAOAAAAAAAAAAEAIAAAACYBAABkcnMvZTJvRG9jLnhtbFBLBQYAAAAABgAGAFkBAAB9&#10;BQAAAAA=&#10;">
                <v:fill on="f" focussize="0,0"/>
                <v:stroke weight="4.5pt" color="#000000 [3213]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  <w:t>2024年度经费预算编制要求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zh-CN" w:bidi="ar"/>
        </w:rPr>
        <w:t>一、总体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以习近平新时代中国特色社会主义思想为指导，完整、准确、全面贯彻新发展理念，坚决落实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校区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决策部署，持续优化支出结构，强化重大战略任务财力保障，严格落实过紧日子要求，将艰苦奋斗、勤俭节约作为预算支出安排的基本方针；加强收入预算管理，强化预算资源统筹，集中财力办大事；完善项目全生命周期管理，加快支出标准体系建设，深化预算绩效管理，加强预算评审和监管，推动预算管理规范透明、约束有力、讲求绩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zh-CN" w:bidi="ar"/>
        </w:rPr>
        <w:t>二、编制要求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（一）强化重大战略任务财力保障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将落实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校区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重大决策部署作为预算安排的首要任务，积极支持实施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校区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发展重大战略任务。遵循“保民生、稳运行、促发展”原则，优先保障工资、奖助学金、水电暖等刚性支出和教学、科研等重点领域，合理保障维持单位正常运转和履职的必要支出。完善预算决策机制和程序，各单位预算草案应经主管校领导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签批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通过后报送。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（二）坚持过紧日子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highlight w:val="yellow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牢固树立过紧日子思想，贯彻勤俭节约原则，严格执行会议差旅等费用开支标准，努力降低行政运行成本，单位办公费原则上只减不增。严格新增资产配置管理，加强资产运行维护，防止资产闲置浪费。合理保障单位履职支出，保持人员队伍稳定和机构正常运转。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准确完整编制“三公”经费预算，严格“三公”经费管理约束。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加强预算执行监控，将非财政拨款等安排“三公”经费管理纳入重点监控范围。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highlight w:val="none"/>
          <w:lang w:val="zh-CN" w:bidi="ar"/>
        </w:rPr>
        <w:t>（三）进一步加强预算资源统筹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各单位要将取得的各项收入全部足额纳入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校区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预算管理，合理预测，规范编报。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各单位要重视预算执行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对预算执行率较低的单位，适当核减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当年预算安排。按照“谁下拨、谁管理、谁收回”原则，完善经费收回使用机制，及时清理统筹使用结余资金。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（四）健全项目全生命周期管理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sz w:val="32"/>
          <w:szCs w:val="32"/>
          <w:lang w:val="zh-CN"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归口管理部门应当将各项支出全部纳入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校区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预算，实行项目库管理。各单位要提前谋划项目，按规定完成可行性论证、制定实施计划、预算评审等前期工作，确定项目实施周期、支出标准、支出总额和绩效目标等，加强项目滚动和评审管理，逐级申报纳入预算项目库并进行排序管理，未纳入预算项目库的项目一律不得安排预算。完善项目分年度预算安排机制，根据实施计划确定分年支出计划，强化支出规划对年度预算的约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  <w:lang w:val="zh-CN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（五）推动预算绩效管理提质增效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坚持预算和绩效管理一体化，将绩效理念和方法深度融入预算编制、执行、监督全过程。按要求对新出台重大政策、项目开展事前绩效评估。加快推进核心绩效指标和标准体系建设，科学编制项目支出绩效目标，突出项目核心产出和效果，合理确定绩效指标值。各单位要对绩效目标开展实质性审核，绩效目标设置质量与绩效考核以及预算安排挂钩。做实用好绩效运行监控，提高项目支出单位自评质量，加强绩效评价结果应用，将绩效评价结果与改进管理、预算申请有机衔接。稳步推进绩效信息公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（六）严肃财经纪律、硬化预算约束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落实预算管理主体责任，各单位要对预算完整性、规范性、真实性以及执行结果负责。严格执行财经法律法规和管理规定，坚持先有预算、后有支出，严禁无预算、超预算安排支出，严禁突击花钱，及时纠正预算管理中的违法违规行为。严格按经济分类、政府采购品目和具体采购项目编制政府采购预算，落实面向中小企业预留采购份额等政策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zh-CN" w:bidi="ar"/>
        </w:rPr>
        <w:t>三、编制流程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（一）收入预算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各学院和职能部门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编制分工见附表）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应根据经济形势、事业计划、经营状况等增收减收因素，坚持积极稳妥的收入预算编制原则，合理测算，全部纳入，不得虚报、漏报、瞒报，并附测算依据或者计算公式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例如：人员数、测算标准、测算依据以及相关文件等。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  <w:lang w:val="zh-CN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（二）支出预算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val="zh-CN"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各学院和职能部门要根据资金需求，统筹安排、注重绩效，真实完整反映各项支出，并分类别、分项目、按照明细编制。办公费和业务费预算应严格按照基本运行需求合理测算。确需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校区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支持的专项经费预算据实申报。达到政府采购限额支出，按要求做好申报政府采购预算准备。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highlight w:val="none"/>
          <w:lang w:val="zh-CN" w:bidi="ar"/>
        </w:rPr>
        <w:t>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highlight w:val="none"/>
          <w:lang w:val="en-US" w:eastAsia="zh-CN" w:bidi="ar"/>
        </w:rPr>
        <w:t>三</w:t>
      </w:r>
      <w:r>
        <w:rPr>
          <w:rFonts w:ascii="Times New Roman" w:hAnsi="Times New Roman" w:eastAsia="楷体" w:cs="Times New Roman"/>
          <w:color w:val="000000"/>
          <w:sz w:val="32"/>
          <w:szCs w:val="32"/>
          <w:highlight w:val="none"/>
          <w:lang w:val="zh-CN" w:bidi="ar"/>
        </w:rPr>
        <w:t>）绩效评价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年度终了，各单位按要求在财务OA系统中填报项目支出绩效目标分析自评报告，</w:t>
      </w:r>
      <w:r>
        <w:rPr>
          <w:rFonts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u w:val="single"/>
          <w:lang w:val="zh-CN" w:bidi="ar"/>
        </w:rPr>
        <w:t>经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校区党政联席</w:t>
      </w:r>
      <w:r>
        <w:rPr>
          <w:rFonts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u w:val="single"/>
          <w:lang w:val="zh-CN" w:bidi="ar"/>
        </w:rPr>
        <w:t>会批准的重大事项、专项经费</w:t>
      </w:r>
      <w:r>
        <w:rPr>
          <w:rFonts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  <w:u w:val="single"/>
          <w:lang w:bidi="ar"/>
        </w:rPr>
        <w:t>及业务费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zh-CN" w:bidi="ar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编制《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2024年校内专项经费预算申报表》，详述申报依据及资金需求，设定绩效目标、细化量化绩效指标。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zh-CN" w:bidi="ar"/>
        </w:rPr>
        <w:t>四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zh-CN" w:bidi="ar"/>
        </w:rPr>
        <w:t>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zh-CN" w:bidi="ar"/>
        </w:rPr>
        <w:t>其他编制事项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zh-CN" w:bidi="ar"/>
        </w:rPr>
        <w:t>一</w:t>
      </w: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）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zh-CN" w:bidi="ar"/>
        </w:rPr>
        <w:t>关于预算编报口径的相关说明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根据学校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部门预算和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校区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可动用预算统筹衔接工作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2024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校区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经费预算收支情况将作为部门预算“二上”的基础数据，请各单位高度重视，科学合理编制预算。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zh-CN" w:bidi="ar"/>
        </w:rPr>
        <w:t>二</w:t>
      </w:r>
      <w:r>
        <w:rPr>
          <w:rFonts w:ascii="Times New Roman" w:hAnsi="Times New Roman" w:eastAsia="楷体" w:cs="Times New Roman"/>
          <w:color w:val="000000"/>
          <w:sz w:val="32"/>
          <w:szCs w:val="32"/>
          <w:lang w:val="zh-CN" w:bidi="ar"/>
        </w:rPr>
        <w:t>）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zh-CN" w:bidi="ar"/>
        </w:rPr>
        <w:t>关于预算审议事项的相关说明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各单位预算须经分管校领导审核签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批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后完成系统填报工作。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财务处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汇总整理后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组织召开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预算审核委员会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议，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各单位需逐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一汇报2023年预算执行情况及2024年度经费预算编制草案，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根据审核意见，修改完善。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adjustRightInd w:val="0"/>
        <w:spacing w:line="600" w:lineRule="exact"/>
        <w:ind w:right="958" w:firstLine="640" w:firstLineChars="200"/>
        <w:jc w:val="right"/>
        <w:rPr>
          <w:rFonts w:ascii="Times New Roman" w:hAnsi="Times New Roman" w:eastAsia="仿宋" w:cs="Times New Roman"/>
          <w:color w:val="FF000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lang w:bidi="ar"/>
        </w:rPr>
        <w:t xml:space="preserve">       </w:t>
      </w:r>
      <w:bookmarkEnd w:id="0"/>
      <w:r>
        <w:rPr>
          <w:rFonts w:ascii="Times New Roman" w:hAnsi="Times New Roman" w:eastAsia="仿宋" w:cs="Times New Roman"/>
          <w:color w:val="FF0000"/>
          <w:sz w:val="32"/>
          <w:szCs w:val="32"/>
          <w:lang w:bidi="ar"/>
        </w:rPr>
        <w:t xml:space="preserve">            </w:t>
      </w:r>
    </w:p>
    <w:bookmarkEnd w:id="1"/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Times New Roman" w:hAnsi="Times New Roman" w:eastAsia="方正仿宋简体" w:cs="Times New Roman"/>
          <w:color w:val="000000"/>
          <w:sz w:val="32"/>
          <w:szCs w:val="32"/>
          <w:lang w:bidi="ar"/>
        </w:rPr>
      </w:pPr>
    </w:p>
    <w:p>
      <w:pPr>
        <w:spacing w:line="560" w:lineRule="exact"/>
        <w:ind w:firstLine="105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61595</wp:posOffset>
                </wp:positionV>
                <wp:extent cx="5649595" cy="0"/>
                <wp:effectExtent l="0" t="6350" r="0" b="69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133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.85pt;height:0pt;width:444.85pt;z-index:251661312;mso-width-relative:page;mso-height-relative:page;" filled="f" stroked="t" coordsize="21600,21600" o:gfxdata="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643B00wAAAAYBAAAPAAAAAAAAAAEAIAAAACIAAABkcnMvZG93bnJldi54bWxQSwECFAAU&#10;AAAACACHTuJAndN3wvYBAADlAwAADgAAAAAAAAABACAAAAAiAQAAZHJzL2Uyb0RvYy54bWxQSwUG&#10;AAAAAAYABgBZAQAAigUAAAAA&#10;">
                <v:fill on="f" focussize="0,0"/>
                <v:stroke weight="1.0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49595" cy="0"/>
                <wp:effectExtent l="0" t="6350" r="0" b="69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133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pt;width:444.85pt;z-index:251660288;mso-width-relative:page;mso-height-relative:page;" filled="f" stroked="t" coordsize="21600,21600" o:gfxdata="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lGltdMAAAAGAQAADwAAAAAAAAABACAAAAAiAAAAZHJzL2Rvd25yZXYueG1sUEsBAhQA&#10;FAAAAAgAh07iQASXqqj3AQAA5QMAAA4AAAAAAAAAAQAgAAAAIgEAAGRycy9lMm9Eb2MueG1sUEsF&#10;BgAAAAAGAAYAWQEAAIsFAAAAAA==&#10;">
                <v:fill on="f" focussize="0,0"/>
                <v:stroke weight="1.0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Cs/>
          <w:sz w:val="28"/>
          <w:szCs w:val="28"/>
        </w:rPr>
        <w:t>哈尔滨工业大学（威海）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财务</w:t>
      </w:r>
      <w:r>
        <w:rPr>
          <w:rFonts w:hint="eastAsia" w:ascii="仿宋" w:hAnsi="仿宋" w:eastAsia="仿宋"/>
          <w:bCs/>
          <w:sz w:val="28"/>
          <w:szCs w:val="28"/>
        </w:rPr>
        <w:t xml:space="preserve">处       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</w:rPr>
        <w:t xml:space="preserve"> 2</w:t>
      </w:r>
      <w:r>
        <w:rPr>
          <w:rFonts w:ascii="仿宋" w:hAnsi="仿宋" w:eastAsia="仿宋"/>
          <w:bCs/>
          <w:sz w:val="28"/>
          <w:szCs w:val="28"/>
        </w:rPr>
        <w:t>023</w:t>
      </w:r>
      <w:r>
        <w:rPr>
          <w:rFonts w:hint="eastAsia" w:ascii="仿宋" w:hAnsi="仿宋" w:eastAsia="仿宋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31</w:t>
      </w:r>
      <w:bookmarkStart w:id="2" w:name="_GoBack"/>
      <w:bookmarkEnd w:id="2"/>
      <w:r>
        <w:rPr>
          <w:rFonts w:hint="eastAsia" w:ascii="仿宋" w:hAnsi="仿宋" w:eastAsia="仿宋"/>
          <w:bCs/>
          <w:sz w:val="28"/>
          <w:szCs w:val="28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Times New Roman" w:hAnsi="Times New Roman" w:eastAsia="方正仿宋简体" w:cs="Times New Roman"/>
          <w:color w:val="000000"/>
          <w:sz w:val="32"/>
          <w:szCs w:val="32"/>
          <w:lang w:bidi="ar"/>
        </w:rPr>
        <w:sectPr>
          <w:footerReference r:id="rId3" w:type="default"/>
          <w:pgSz w:w="12240" w:h="15840"/>
          <w:pgMar w:top="1440" w:right="1803" w:bottom="1440" w:left="1803" w:header="720" w:footer="720" w:gutter="0"/>
          <w:cols w:space="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784" w:tblpY="2971"/>
        <w:tblOverlap w:val="never"/>
        <w:tblW w:w="1196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6364"/>
        <w:gridCol w:w="4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收入大类</w:t>
            </w: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收入明细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编制部门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restart"/>
            <w:tcBorders>
              <w:top w:val="single" w:color="7F7F7F" w:sz="6" w:space="0"/>
              <w:left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财政拨款</w:t>
            </w: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基本支出拨款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财务处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left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双一流项目</w:t>
            </w:r>
            <w:r>
              <w:rPr>
                <w:color w:val="000000"/>
                <w:sz w:val="24"/>
                <w:szCs w:val="24"/>
              </w:rPr>
              <w:t>拨款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研究生处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改善基本办学条件拨款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后勤保卫处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restar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事业收入</w:t>
            </w: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本科生学费、中外合作办学学费</w:t>
            </w:r>
          </w:p>
        </w:tc>
        <w:tc>
          <w:tcPr>
            <w:tcW w:w="4146" w:type="dxa"/>
            <w:vMerge w:val="restar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双学位及重辅修学费</w:t>
            </w:r>
          </w:p>
        </w:tc>
        <w:tc>
          <w:tcPr>
            <w:tcW w:w="4146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留学生学费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国际合作处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研究生学费、工程硕士学费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研究生处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非学历教育收费、留学生公寓住宿费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住宿费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后勤保卫处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科研收入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科技发展处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restar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其他收入</w:t>
            </w: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利息收入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财务处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捐赠收入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校友与基金会办公室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租赁收入、合作创收；校地合作收入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后勤保卫处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color w:val="auto"/>
                <w:sz w:val="24"/>
                <w:szCs w:val="24"/>
              </w:rPr>
              <w:t>服务地方办公室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科技发展处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分析测试中心收入；被投资单位收益、资产经营收入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分析测试中心；资产投资经营公司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tblCellSpacing w:w="0" w:type="dxa"/>
        </w:trPr>
        <w:tc>
          <w:tcPr>
            <w:tcW w:w="1458" w:type="dxa"/>
            <w:vMerge w:val="restar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回收经费</w:t>
            </w: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科研用房资源回收、科研管理费（校区可支配部分）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科技发展处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超额使用资源回收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资产管理处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水电暖、过渡房、学生公寓、浴池管理费等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后勤保卫处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网络使用费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网络信息中心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文献检索费、科技查新等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tblCellSpacing w:w="0" w:type="dxa"/>
        </w:trPr>
        <w:tc>
          <w:tcPr>
            <w:tcW w:w="1458" w:type="dxa"/>
            <w:vMerge w:val="continue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学生打印成绩单及补证费、回收印刷费等</w:t>
            </w:r>
          </w:p>
        </w:tc>
        <w:tc>
          <w:tcPr>
            <w:tcW w:w="414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教务处</w:t>
            </w:r>
          </w:p>
        </w:tc>
      </w:tr>
    </w:tbl>
    <w:p>
      <w:pPr>
        <w:adjustRightInd w:val="0"/>
        <w:snapToGrid w:val="0"/>
        <w:spacing w:after="468" w:afterLines="150" w:line="700" w:lineRule="exact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44"/>
          <w:szCs w:val="44"/>
          <w:lang w:bidi="ar"/>
        </w:rPr>
        <w:t>附表：2024年度经费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44"/>
          <w:szCs w:val="44"/>
          <w:lang w:val="en-US" w:eastAsia="zh-CN" w:bidi="ar"/>
        </w:rPr>
        <w:t>收入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44"/>
          <w:szCs w:val="44"/>
          <w:lang w:bidi="ar"/>
        </w:rPr>
        <w:t>预算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44"/>
          <w:szCs w:val="44"/>
          <w:lang w:val="en-US" w:eastAsia="zh-CN" w:bidi="ar"/>
        </w:rPr>
        <w:t>编报分工</w:t>
      </w:r>
    </w:p>
    <w:p>
      <w:pPr>
        <w:adjustRightInd w:val="0"/>
        <w:snapToGrid w:val="0"/>
        <w:spacing w:line="240" w:lineRule="atLeast"/>
        <w:rPr>
          <w:rFonts w:ascii="方正仿宋简体" w:hAnsi="Times New Roman" w:eastAsia="方正仿宋简体" w:cs="Times New Roman"/>
          <w:color w:val="FF0000"/>
          <w:sz w:val="32"/>
          <w:szCs w:val="30"/>
        </w:rPr>
      </w:pPr>
    </w:p>
    <w:p>
      <w:pPr>
        <w:adjustRightInd w:val="0"/>
        <w:snapToGrid w:val="0"/>
        <w:spacing w:line="20" w:lineRule="exact"/>
        <w:rPr>
          <w:rFonts w:ascii="Times New Roman" w:hAnsi="Times New Roman" w:cs="Times New Roman"/>
        </w:rPr>
      </w:pPr>
    </w:p>
    <w:sectPr>
      <w:pgSz w:w="15840" w:h="12240" w:orient="landscape"/>
      <w:pgMar w:top="1803" w:right="1440" w:bottom="1803" w:left="1440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625101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Dk5MWQzODAwYTEzNmZiYWIyOTM5Zjk0ZWU2NzIifQ=="/>
  </w:docVars>
  <w:rsids>
    <w:rsidRoot w:val="39042F9D"/>
    <w:rsid w:val="0002323D"/>
    <w:rsid w:val="00031CC2"/>
    <w:rsid w:val="000856FE"/>
    <w:rsid w:val="001146BB"/>
    <w:rsid w:val="00143624"/>
    <w:rsid w:val="001601C6"/>
    <w:rsid w:val="001F6F27"/>
    <w:rsid w:val="001F7EB5"/>
    <w:rsid w:val="0020083B"/>
    <w:rsid w:val="00244F4E"/>
    <w:rsid w:val="002734A8"/>
    <w:rsid w:val="002A2C1C"/>
    <w:rsid w:val="002A70F2"/>
    <w:rsid w:val="002D15F6"/>
    <w:rsid w:val="00304562"/>
    <w:rsid w:val="003075EB"/>
    <w:rsid w:val="003402AC"/>
    <w:rsid w:val="003773B1"/>
    <w:rsid w:val="003903D3"/>
    <w:rsid w:val="003B32FC"/>
    <w:rsid w:val="003B56A8"/>
    <w:rsid w:val="004042B5"/>
    <w:rsid w:val="0042543C"/>
    <w:rsid w:val="004639B0"/>
    <w:rsid w:val="00472FD7"/>
    <w:rsid w:val="00473753"/>
    <w:rsid w:val="004F0B48"/>
    <w:rsid w:val="00520CD1"/>
    <w:rsid w:val="005767A2"/>
    <w:rsid w:val="005947FB"/>
    <w:rsid w:val="005A7BF2"/>
    <w:rsid w:val="005B0A80"/>
    <w:rsid w:val="00633891"/>
    <w:rsid w:val="00654D75"/>
    <w:rsid w:val="00675039"/>
    <w:rsid w:val="00693904"/>
    <w:rsid w:val="006C5128"/>
    <w:rsid w:val="00743ED0"/>
    <w:rsid w:val="00796169"/>
    <w:rsid w:val="007C7040"/>
    <w:rsid w:val="007E44AF"/>
    <w:rsid w:val="00840B45"/>
    <w:rsid w:val="00845FA7"/>
    <w:rsid w:val="00847E7E"/>
    <w:rsid w:val="00860D26"/>
    <w:rsid w:val="008632CB"/>
    <w:rsid w:val="008838B0"/>
    <w:rsid w:val="008C781E"/>
    <w:rsid w:val="008F09FC"/>
    <w:rsid w:val="008F4ED8"/>
    <w:rsid w:val="00933EE4"/>
    <w:rsid w:val="00962D2D"/>
    <w:rsid w:val="009A38E4"/>
    <w:rsid w:val="00A25CD9"/>
    <w:rsid w:val="00AC21AB"/>
    <w:rsid w:val="00B46C83"/>
    <w:rsid w:val="00B84AEF"/>
    <w:rsid w:val="00BC3D36"/>
    <w:rsid w:val="00BF2467"/>
    <w:rsid w:val="00C02445"/>
    <w:rsid w:val="00C05EFB"/>
    <w:rsid w:val="00C1010E"/>
    <w:rsid w:val="00C37C05"/>
    <w:rsid w:val="00D3193D"/>
    <w:rsid w:val="00DD4C6B"/>
    <w:rsid w:val="00DF616F"/>
    <w:rsid w:val="00EC76CE"/>
    <w:rsid w:val="00ED43CC"/>
    <w:rsid w:val="00EE68C7"/>
    <w:rsid w:val="00EF438D"/>
    <w:rsid w:val="00F447E0"/>
    <w:rsid w:val="00F71D5B"/>
    <w:rsid w:val="00FD640D"/>
    <w:rsid w:val="0A0334A7"/>
    <w:rsid w:val="0C1A6B66"/>
    <w:rsid w:val="0E067AC1"/>
    <w:rsid w:val="0E7B57DE"/>
    <w:rsid w:val="11D5602E"/>
    <w:rsid w:val="156B79B3"/>
    <w:rsid w:val="340A14A5"/>
    <w:rsid w:val="39042F9D"/>
    <w:rsid w:val="3D8336EA"/>
    <w:rsid w:val="3E0D1604"/>
    <w:rsid w:val="454D5FC1"/>
    <w:rsid w:val="48986B6D"/>
    <w:rsid w:val="49EC57B7"/>
    <w:rsid w:val="57D24779"/>
    <w:rsid w:val="57DD3779"/>
    <w:rsid w:val="5A9E3C52"/>
    <w:rsid w:val="5E2F4070"/>
    <w:rsid w:val="62A307A8"/>
    <w:rsid w:val="68E07739"/>
    <w:rsid w:val="6B3B266C"/>
    <w:rsid w:val="6CF941B7"/>
    <w:rsid w:val="6DCB04E7"/>
    <w:rsid w:val="715F6AE4"/>
    <w:rsid w:val="73505E3C"/>
    <w:rsid w:val="757D344E"/>
    <w:rsid w:val="79383E13"/>
    <w:rsid w:val="7CBA19C5"/>
    <w:rsid w:val="7D715301"/>
    <w:rsid w:val="7DB42D92"/>
    <w:rsid w:val="7EC3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335</Words>
  <Characters>1914</Characters>
  <Lines>15</Lines>
  <Paragraphs>4</Paragraphs>
  <TotalTime>2</TotalTime>
  <ScaleCrop>false</ScaleCrop>
  <LinksUpToDate>false</LinksUpToDate>
  <CharactersWithSpaces>2245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2022-11-02T07:36:00Z</dcterms:created>
  <dc:creator>olf1980</dc:creator>
  <cp:lastModifiedBy>周晓静</cp:lastModifiedBy>
  <cp:lastPrinted>2023-10-23T08:35:00Z</cp:lastPrinted>
  <dcterms:modified xsi:type="dcterms:W3CDTF">2023-10-31T00:49:11Z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E2CC2A8B2C3D48E88E3CB1A545B25613</vt:lpwstr>
  </property>
</Properties>
</file>